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271B">
      <w:pPr>
        <w:spacing w:line="480" w:lineRule="exact"/>
        <w:rPr>
          <w:rFonts w:ascii="仿宋" w:hAnsi="仿宋" w:eastAsia="仿宋" w:cs="宋体"/>
          <w:sz w:val="32"/>
          <w:szCs w:val="32"/>
          <w:lang w:eastAsia="zh-CN"/>
        </w:rPr>
      </w:pPr>
      <w:r>
        <w:rPr>
          <w:rFonts w:hint="eastAsia" w:ascii="仿宋" w:hAnsi="仿宋" w:eastAsia="仿宋" w:cs="宋体"/>
          <w:sz w:val="32"/>
          <w:szCs w:val="32"/>
          <w:lang w:eastAsia="zh-CN"/>
        </w:rPr>
        <w:t>附件：</w:t>
      </w:r>
    </w:p>
    <w:p w14:paraId="582DE0D1">
      <w:pPr>
        <w:spacing w:line="480" w:lineRule="exact"/>
        <w:rPr>
          <w:rFonts w:hint="eastAsia" w:ascii="宋体" w:hAnsi="宋体" w:eastAsia="宋体" w:cs="宋体"/>
          <w:sz w:val="36"/>
          <w:szCs w:val="36"/>
          <w:lang w:eastAsia="zh-CN"/>
        </w:rPr>
      </w:pPr>
    </w:p>
    <w:p w14:paraId="2493AECC">
      <w:pPr>
        <w:spacing w:line="480" w:lineRule="exact"/>
        <w:jc w:val="center"/>
        <w:rPr>
          <w:rFonts w:ascii="宋体" w:hAnsi="宋体" w:eastAsia="宋体" w:cs="宋体"/>
          <w:sz w:val="36"/>
          <w:szCs w:val="36"/>
          <w:lang w:eastAsia="zh-CN"/>
        </w:rPr>
      </w:pPr>
      <w:bookmarkStart w:id="0" w:name="_Hlk206510461"/>
      <w:r>
        <w:rPr>
          <w:rFonts w:hint="eastAsia" w:ascii="宋体" w:hAnsi="宋体" w:eastAsia="宋体" w:cs="宋体"/>
          <w:sz w:val="36"/>
          <w:szCs w:val="36"/>
          <w:lang w:eastAsia="zh-CN"/>
        </w:rPr>
        <w:t>采购内容和技术要求</w:t>
      </w:r>
    </w:p>
    <w:bookmarkEnd w:id="0"/>
    <w:p w14:paraId="3C66EFA0">
      <w:pPr>
        <w:spacing w:line="480" w:lineRule="exact"/>
        <w:ind w:firstLine="640" w:firstLineChars="200"/>
        <w:jc w:val="both"/>
        <w:rPr>
          <w:rFonts w:ascii="宋体" w:hAnsi="宋体" w:eastAsia="宋体" w:cs="宋体"/>
          <w:sz w:val="36"/>
          <w:szCs w:val="36"/>
          <w:lang w:eastAsia="zh-CN"/>
        </w:rPr>
      </w:pPr>
      <w:r>
        <w:rPr>
          <w:rFonts w:hint="eastAsia" w:ascii="仿宋" w:hAnsi="仿宋" w:eastAsia="仿宋" w:cs="仿宋"/>
          <w:bCs/>
          <w:sz w:val="32"/>
          <w:szCs w:val="32"/>
          <w:lang w:eastAsia="zh-CN"/>
        </w:rPr>
        <w:t>本项目预算金额为3104.00元，供应商报价（分项报价）均不得超过相应的采购预算，</w:t>
      </w:r>
      <w:r>
        <w:rPr>
          <w:rFonts w:hint="eastAsia" w:ascii="仿宋" w:hAnsi="仿宋" w:eastAsia="仿宋" w:cs="仿宋"/>
          <w:bCs/>
          <w:color w:val="auto"/>
          <w:sz w:val="32"/>
          <w:szCs w:val="32"/>
          <w:lang w:eastAsia="zh-CN"/>
        </w:rPr>
        <w:t>否则</w:t>
      </w:r>
      <w:r>
        <w:rPr>
          <w:rFonts w:hint="eastAsia" w:ascii="仿宋" w:hAnsi="仿宋" w:eastAsia="仿宋" w:cs="仿宋"/>
          <w:color w:val="auto"/>
          <w:sz w:val="32"/>
          <w:szCs w:val="32"/>
          <w:lang w:eastAsia="zh-CN"/>
        </w:rPr>
        <w:t>响应文件无效</w:t>
      </w:r>
      <w:r>
        <w:rPr>
          <w:rFonts w:hint="eastAsia" w:ascii="仿宋" w:hAnsi="仿宋" w:eastAsia="仿宋" w:cs="仿宋"/>
          <w:bCs/>
          <w:color w:val="auto"/>
          <w:sz w:val="32"/>
          <w:szCs w:val="32"/>
          <w:lang w:eastAsia="zh-CN"/>
        </w:rPr>
        <w:t>。</w:t>
      </w:r>
    </w:p>
    <w:p w14:paraId="1DF83F93">
      <w:pPr>
        <w:spacing w:line="480" w:lineRule="exact"/>
        <w:ind w:firstLine="643" w:firstLineChars="200"/>
        <w:jc w:val="both"/>
        <w:rPr>
          <w:rFonts w:hint="eastAsia" w:ascii="宋体" w:hAnsi="宋体" w:eastAsia="宋体" w:cs="宋体"/>
          <w:sz w:val="36"/>
          <w:szCs w:val="36"/>
          <w:lang w:eastAsia="zh-CN"/>
        </w:rPr>
      </w:pPr>
      <w:r>
        <w:rPr>
          <w:rFonts w:hint="eastAsia" w:ascii="仿宋" w:hAnsi="仿宋" w:eastAsia="仿宋" w:cs="仿宋"/>
          <w:b/>
          <w:bCs/>
          <w:sz w:val="32"/>
          <w:szCs w:val="32"/>
          <w:lang w:eastAsia="zh-CN"/>
        </w:rPr>
        <w:t>卢戈氏碘消毒液参数</w:t>
      </w:r>
    </w:p>
    <w:tbl>
      <w:tblPr>
        <w:tblStyle w:val="3"/>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58"/>
        <w:gridCol w:w="900"/>
        <w:gridCol w:w="1037"/>
        <w:gridCol w:w="1354"/>
        <w:gridCol w:w="3978"/>
      </w:tblGrid>
      <w:tr w14:paraId="7D59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00" w:type="dxa"/>
            <w:vAlign w:val="center"/>
          </w:tcPr>
          <w:p w14:paraId="668BDF84">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序号</w:t>
            </w:r>
          </w:p>
        </w:tc>
        <w:tc>
          <w:tcPr>
            <w:tcW w:w="1958" w:type="dxa"/>
            <w:vAlign w:val="center"/>
          </w:tcPr>
          <w:p w14:paraId="79295816">
            <w:pPr>
              <w:pStyle w:val="5"/>
              <w:kinsoku/>
              <w:autoSpaceDE/>
              <w:autoSpaceDN/>
              <w:adjustRightInd/>
              <w:snapToGrid/>
              <w:spacing w:before="174" w:line="280" w:lineRule="exact"/>
              <w:jc w:val="center"/>
              <w:rPr>
                <w:rFonts w:ascii="仿宋" w:hAnsi="仿宋" w:eastAsia="仿宋" w:cs="仿宋"/>
                <w:b/>
                <w:bCs/>
                <w:sz w:val="32"/>
                <w:szCs w:val="32"/>
              </w:rPr>
            </w:pPr>
            <w:r>
              <w:rPr>
                <w:rFonts w:hint="eastAsia" w:ascii="仿宋" w:hAnsi="仿宋" w:eastAsia="仿宋" w:cs="仿宋"/>
                <w:b/>
                <w:bCs/>
                <w:spacing w:val="-3"/>
                <w:sz w:val="32"/>
                <w:szCs w:val="32"/>
              </w:rPr>
              <w:t>名称</w:t>
            </w:r>
          </w:p>
        </w:tc>
        <w:tc>
          <w:tcPr>
            <w:tcW w:w="900" w:type="dxa"/>
            <w:vAlign w:val="center"/>
          </w:tcPr>
          <w:p w14:paraId="21B741B0">
            <w:pPr>
              <w:pStyle w:val="5"/>
              <w:kinsoku/>
              <w:autoSpaceDE/>
              <w:autoSpaceDN/>
              <w:adjustRightInd/>
              <w:snapToGrid/>
              <w:spacing w:before="172" w:line="280" w:lineRule="exact"/>
              <w:jc w:val="center"/>
              <w:rPr>
                <w:rFonts w:ascii="仿宋" w:hAnsi="仿宋" w:eastAsia="仿宋" w:cs="仿宋"/>
                <w:b/>
                <w:bCs/>
                <w:sz w:val="32"/>
                <w:szCs w:val="32"/>
              </w:rPr>
            </w:pPr>
            <w:r>
              <w:rPr>
                <w:rFonts w:hint="eastAsia" w:ascii="仿宋" w:hAnsi="仿宋" w:eastAsia="仿宋" w:cs="仿宋"/>
                <w:b/>
                <w:bCs/>
                <w:spacing w:val="-2"/>
                <w:sz w:val="32"/>
                <w:szCs w:val="32"/>
              </w:rPr>
              <w:t>数量</w:t>
            </w:r>
          </w:p>
        </w:tc>
        <w:tc>
          <w:tcPr>
            <w:tcW w:w="1037" w:type="dxa"/>
            <w:vAlign w:val="center"/>
          </w:tcPr>
          <w:p w14:paraId="6D927E2F">
            <w:pPr>
              <w:pStyle w:val="5"/>
              <w:kinsoku/>
              <w:autoSpaceDE/>
              <w:autoSpaceDN/>
              <w:adjustRightInd/>
              <w:snapToGrid/>
              <w:spacing w:before="170" w:line="280" w:lineRule="exac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最高限价（预算单价）（元）</w:t>
            </w:r>
          </w:p>
        </w:tc>
        <w:tc>
          <w:tcPr>
            <w:tcW w:w="1354" w:type="dxa"/>
            <w:vAlign w:val="center"/>
          </w:tcPr>
          <w:p w14:paraId="04D6247B">
            <w:pPr>
              <w:pStyle w:val="5"/>
              <w:kinsoku/>
              <w:autoSpaceDE/>
              <w:autoSpaceDN/>
              <w:adjustRightInd/>
              <w:snapToGrid/>
              <w:spacing w:before="170" w:line="280" w:lineRule="exac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最高限价（预算总价）（元）</w:t>
            </w:r>
          </w:p>
        </w:tc>
        <w:tc>
          <w:tcPr>
            <w:tcW w:w="3978" w:type="dxa"/>
            <w:vAlign w:val="center"/>
          </w:tcPr>
          <w:p w14:paraId="5B3AD6D9">
            <w:pPr>
              <w:pStyle w:val="5"/>
              <w:kinsoku/>
              <w:autoSpaceDE/>
              <w:autoSpaceDN/>
              <w:adjustRightInd/>
              <w:snapToGrid/>
              <w:spacing w:before="170" w:line="280" w:lineRule="exac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参数</w:t>
            </w:r>
          </w:p>
        </w:tc>
      </w:tr>
      <w:tr w14:paraId="32BB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atLeast"/>
          <w:jc w:val="center"/>
        </w:trPr>
        <w:tc>
          <w:tcPr>
            <w:tcW w:w="800" w:type="dxa"/>
            <w:vAlign w:val="center"/>
          </w:tcPr>
          <w:p w14:paraId="4506771E">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1</w:t>
            </w:r>
          </w:p>
        </w:tc>
        <w:tc>
          <w:tcPr>
            <w:tcW w:w="1958" w:type="dxa"/>
            <w:vAlign w:val="center"/>
          </w:tcPr>
          <w:p w14:paraId="17DD0222">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卢戈氏碘消毒液</w:t>
            </w:r>
          </w:p>
        </w:tc>
        <w:tc>
          <w:tcPr>
            <w:tcW w:w="900" w:type="dxa"/>
            <w:vAlign w:val="center"/>
          </w:tcPr>
          <w:p w14:paraId="5C833D7C">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100瓶</w:t>
            </w:r>
          </w:p>
        </w:tc>
        <w:tc>
          <w:tcPr>
            <w:tcW w:w="1037" w:type="dxa"/>
            <w:vAlign w:val="center"/>
          </w:tcPr>
          <w:p w14:paraId="5859C8C4">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31.04</w:t>
            </w:r>
          </w:p>
        </w:tc>
        <w:tc>
          <w:tcPr>
            <w:tcW w:w="1354" w:type="dxa"/>
            <w:vAlign w:val="center"/>
          </w:tcPr>
          <w:p w14:paraId="65BB1290">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3104</w:t>
            </w:r>
          </w:p>
        </w:tc>
        <w:tc>
          <w:tcPr>
            <w:tcW w:w="3978" w:type="dxa"/>
            <w:vAlign w:val="center"/>
          </w:tcPr>
          <w:p w14:paraId="3DDD84CF">
            <w:pPr>
              <w:rPr>
                <w:rFonts w:ascii="仿宋" w:hAnsi="仿宋" w:eastAsia="仿宋" w:cs="仿宋"/>
                <w:sz w:val="32"/>
                <w:szCs w:val="32"/>
                <w:lang w:eastAsia="zh-CN"/>
              </w:rPr>
            </w:pPr>
            <w:r>
              <w:rPr>
                <w:rFonts w:hint="eastAsia" w:ascii="仿宋" w:hAnsi="仿宋" w:eastAsia="仿宋" w:cs="仿宋"/>
                <w:sz w:val="32"/>
                <w:szCs w:val="32"/>
                <w:lang w:eastAsia="zh-CN"/>
              </w:rPr>
              <w:t>1.以碘为主要有效成分的消毒液。有效碘含量为5.0%±0.5%(w/w)。</w:t>
            </w:r>
          </w:p>
          <w:p w14:paraId="74CFF3D5">
            <w:pPr>
              <w:rPr>
                <w:rFonts w:ascii="仿宋" w:hAnsi="仿宋" w:eastAsia="仿宋" w:cs="仿宋"/>
                <w:sz w:val="32"/>
                <w:szCs w:val="32"/>
                <w:lang w:eastAsia="zh-CN"/>
              </w:rPr>
            </w:pPr>
            <w:r>
              <w:rPr>
                <w:rFonts w:hint="eastAsia" w:ascii="仿宋" w:hAnsi="仿宋" w:eastAsia="仿宋" w:cs="仿宋"/>
                <w:sz w:val="32"/>
                <w:szCs w:val="32"/>
                <w:lang w:eastAsia="zh-CN"/>
              </w:rPr>
              <w:t>2.可杀灭肠道致病菌、化脓性球菌、致病性酵母菌和医院感染常见细菌。</w:t>
            </w:r>
          </w:p>
          <w:p w14:paraId="6746AD4A">
            <w:pPr>
              <w:rPr>
                <w:rFonts w:ascii="仿宋" w:hAnsi="仿宋" w:eastAsia="仿宋" w:cs="仿宋"/>
                <w:sz w:val="32"/>
                <w:szCs w:val="32"/>
                <w:lang w:eastAsia="zh-CN"/>
              </w:rPr>
            </w:pPr>
            <w:r>
              <w:rPr>
                <w:rFonts w:hint="eastAsia" w:ascii="仿宋" w:hAnsi="仿宋" w:eastAsia="仿宋" w:cs="仿宋"/>
                <w:sz w:val="32"/>
                <w:szCs w:val="32"/>
                <w:lang w:eastAsia="zh-CN"/>
              </w:rPr>
              <w:t>3适用于阴道黏膜和外阴上皮表面的消毒。</w:t>
            </w:r>
          </w:p>
          <w:p w14:paraId="2DE72D71">
            <w:pPr>
              <w:rPr>
                <w:rFonts w:ascii="仿宋" w:hAnsi="仿宋" w:eastAsia="仿宋" w:cs="仿宋"/>
                <w:sz w:val="32"/>
                <w:szCs w:val="32"/>
                <w:lang w:eastAsia="zh-CN"/>
              </w:rPr>
            </w:pPr>
            <w:r>
              <w:rPr>
                <w:rFonts w:hint="eastAsia" w:ascii="仿宋" w:hAnsi="仿宋" w:eastAsia="仿宋" w:cs="仿宋"/>
                <w:sz w:val="32"/>
                <w:szCs w:val="32"/>
                <w:lang w:eastAsia="zh-CN"/>
              </w:rPr>
              <w:t>4.有消毒产品卫生安全评价报告。</w:t>
            </w:r>
          </w:p>
          <w:p w14:paraId="19419688">
            <w:pPr>
              <w:rPr>
                <w:rFonts w:ascii="仿宋" w:hAnsi="仿宋" w:eastAsia="仿宋" w:cs="仿宋"/>
                <w:sz w:val="32"/>
                <w:szCs w:val="32"/>
                <w:lang w:eastAsia="zh-CN"/>
              </w:rPr>
            </w:pPr>
            <w:r>
              <w:rPr>
                <w:rFonts w:hint="eastAsia" w:ascii="仿宋" w:hAnsi="仿宋" w:eastAsia="仿宋" w:cs="仿宋"/>
                <w:sz w:val="32"/>
                <w:szCs w:val="32"/>
                <w:lang w:eastAsia="zh-CN"/>
              </w:rPr>
              <w:t>5.PH值范围：3.0±1.0</w:t>
            </w:r>
          </w:p>
          <w:p w14:paraId="0D2C52F4">
            <w:pPr>
              <w:rPr>
                <w:rFonts w:ascii="仿宋" w:hAnsi="仿宋" w:eastAsia="仿宋" w:cs="仿宋"/>
                <w:sz w:val="32"/>
                <w:szCs w:val="32"/>
                <w:lang w:eastAsia="zh-CN"/>
              </w:rPr>
            </w:pPr>
            <w:r>
              <w:rPr>
                <w:rFonts w:hint="eastAsia" w:ascii="仿宋" w:hAnsi="仿宋" w:eastAsia="仿宋" w:cs="仿宋"/>
                <w:spacing w:val="-8"/>
                <w:sz w:val="32"/>
                <w:szCs w:val="32"/>
                <w:lang w:eastAsia="zh-CN"/>
              </w:rPr>
              <w:t>6.卢戈氏碘消毒液产品符合相关法规、</w:t>
            </w:r>
            <w:r>
              <w:rPr>
                <w:rFonts w:hint="eastAsia" w:ascii="仿宋" w:hAnsi="仿宋" w:eastAsia="仿宋" w:cs="仿宋"/>
                <w:spacing w:val="-9"/>
                <w:sz w:val="32"/>
                <w:szCs w:val="32"/>
                <w:lang w:eastAsia="zh-CN"/>
              </w:rPr>
              <w:t>规</w:t>
            </w:r>
            <w:r>
              <w:rPr>
                <w:rFonts w:hint="eastAsia" w:ascii="仿宋" w:hAnsi="仿宋" w:eastAsia="仿宋" w:cs="仿宋"/>
                <w:sz w:val="32"/>
                <w:szCs w:val="32"/>
                <w:lang w:eastAsia="zh-CN"/>
              </w:rPr>
              <w:t>范、标准等法定要求。</w:t>
            </w:r>
          </w:p>
          <w:p w14:paraId="19AF8C87">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p>
        </w:tc>
      </w:tr>
      <w:tr w14:paraId="4EA6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00" w:type="dxa"/>
            <w:vAlign w:val="center"/>
          </w:tcPr>
          <w:p w14:paraId="5269AB51">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p>
        </w:tc>
        <w:tc>
          <w:tcPr>
            <w:tcW w:w="1958" w:type="dxa"/>
            <w:vAlign w:val="center"/>
          </w:tcPr>
          <w:p w14:paraId="029BF7AB">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合计</w:t>
            </w:r>
          </w:p>
        </w:tc>
        <w:tc>
          <w:tcPr>
            <w:tcW w:w="900" w:type="dxa"/>
            <w:vAlign w:val="center"/>
          </w:tcPr>
          <w:p w14:paraId="6F6E45C1">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p>
        </w:tc>
        <w:tc>
          <w:tcPr>
            <w:tcW w:w="1037" w:type="dxa"/>
            <w:vAlign w:val="center"/>
          </w:tcPr>
          <w:p w14:paraId="51CD997C">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p>
        </w:tc>
        <w:tc>
          <w:tcPr>
            <w:tcW w:w="1354" w:type="dxa"/>
            <w:vAlign w:val="center"/>
          </w:tcPr>
          <w:p w14:paraId="0C84A92F">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3104</w:t>
            </w:r>
          </w:p>
        </w:tc>
        <w:tc>
          <w:tcPr>
            <w:tcW w:w="3978" w:type="dxa"/>
            <w:vAlign w:val="center"/>
          </w:tcPr>
          <w:p w14:paraId="30F55CB6">
            <w:pPr>
              <w:pStyle w:val="5"/>
              <w:kinsoku/>
              <w:autoSpaceDE/>
              <w:autoSpaceDN/>
              <w:adjustRightInd/>
              <w:snapToGrid/>
              <w:spacing w:before="174" w:line="280" w:lineRule="exact"/>
              <w:jc w:val="center"/>
              <w:rPr>
                <w:rFonts w:ascii="仿宋" w:hAnsi="仿宋" w:eastAsia="仿宋" w:cs="仿宋"/>
                <w:b/>
                <w:bCs/>
                <w:spacing w:val="-3"/>
                <w:sz w:val="32"/>
                <w:szCs w:val="32"/>
                <w:lang w:eastAsia="zh-CN"/>
              </w:rPr>
            </w:pPr>
          </w:p>
        </w:tc>
      </w:tr>
    </w:tbl>
    <w:p w14:paraId="1A07D901">
      <w:pPr>
        <w:sectPr>
          <w:pgSz w:w="11906" w:h="16838"/>
          <w:pgMar w:top="1440" w:right="1800" w:bottom="1440" w:left="1800" w:header="851" w:footer="992" w:gutter="0"/>
          <w:cols w:space="425" w:num="1"/>
          <w:docGrid w:type="lines" w:linePitch="312" w:charSpace="0"/>
        </w:sectPr>
      </w:pPr>
    </w:p>
    <w:p w14:paraId="646FE721">
      <w:pPr>
        <w:pStyle w:val="2"/>
        <w:spacing w:before="0" w:after="0" w:line="480" w:lineRule="exact"/>
        <w:ind w:right="0" w:rightChars="0" w:firstLine="0" w:firstLineChars="0"/>
        <w:jc w:val="center"/>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 xml:space="preserve"> 评 审</w:t>
      </w:r>
    </w:p>
    <w:p w14:paraId="4FD4845B">
      <w:pPr>
        <w:pStyle w:val="2"/>
        <w:spacing w:before="0" w:after="0" w:line="480" w:lineRule="exact"/>
        <w:ind w:right="0" w:rightChars="0" w:firstLine="0" w:firstLineChars="0"/>
        <w:rPr>
          <w:rFonts w:ascii="宋体" w:hAnsi="宋体" w:cs="宋体"/>
          <w:color w:val="auto"/>
          <w:szCs w:val="24"/>
          <w:lang w:eastAsia="zh-CN"/>
        </w:rPr>
      </w:pPr>
    </w:p>
    <w:p w14:paraId="48BCF18E">
      <w:pPr>
        <w:spacing w:line="480" w:lineRule="exact"/>
        <w:ind w:firstLine="480" w:firstLineChars="200"/>
        <w:rPr>
          <w:rFonts w:ascii="宋体" w:hAnsi="宋体"/>
          <w:b/>
          <w:bCs/>
          <w:sz w:val="24"/>
        </w:rPr>
      </w:pPr>
      <w:r>
        <w:rPr>
          <w:rFonts w:hint="eastAsia" w:ascii="宋体" w:hAnsi="宋体"/>
          <w:b/>
          <w:bCs/>
          <w:sz w:val="24"/>
        </w:rPr>
        <w:t>一、评标依据</w:t>
      </w:r>
    </w:p>
    <w:p w14:paraId="36E843EA">
      <w:pPr>
        <w:spacing w:line="480" w:lineRule="exact"/>
        <w:ind w:firstLine="480" w:firstLineChars="200"/>
        <w:rPr>
          <w:rFonts w:ascii="宋体" w:hAnsi="宋体"/>
          <w:sz w:val="24"/>
          <w:lang w:eastAsia="zh-CN"/>
        </w:rPr>
      </w:pPr>
      <w:r>
        <w:rPr>
          <w:rFonts w:hint="eastAsia" w:ascii="宋体" w:hAnsi="宋体"/>
          <w:sz w:val="24"/>
          <w:lang w:eastAsia="zh-CN"/>
        </w:rPr>
        <w:t>参照《中华人民共和国政府采购法》《中华人民共和国政府采购法实施条例》《政府采购非招标采购方式管理办法》等相关法律、法规和规定、询价通知书、各供应商的响应文件。</w:t>
      </w:r>
    </w:p>
    <w:p w14:paraId="737F12E6">
      <w:pPr>
        <w:spacing w:line="480" w:lineRule="exact"/>
        <w:ind w:firstLine="480" w:firstLineChars="200"/>
        <w:rPr>
          <w:rFonts w:ascii="宋体" w:hAnsi="宋体"/>
          <w:sz w:val="24"/>
          <w:lang w:eastAsia="zh-CN"/>
        </w:rPr>
      </w:pPr>
      <w:r>
        <w:rPr>
          <w:rFonts w:hint="eastAsia" w:ascii="宋体" w:hAnsi="宋体"/>
          <w:b/>
          <w:bCs/>
          <w:sz w:val="24"/>
          <w:lang w:eastAsia="zh-CN"/>
        </w:rPr>
        <w:t>二、询价小组的依法组建</w:t>
      </w:r>
    </w:p>
    <w:p w14:paraId="261652AC">
      <w:pPr>
        <w:spacing w:line="480" w:lineRule="exact"/>
        <w:ind w:firstLine="480" w:firstLineChars="200"/>
        <w:rPr>
          <w:rFonts w:ascii="宋体" w:hAnsi="宋体"/>
          <w:sz w:val="24"/>
          <w:lang w:eastAsia="zh-CN"/>
        </w:rPr>
      </w:pPr>
      <w:r>
        <w:rPr>
          <w:rFonts w:hint="eastAsia" w:ascii="宋体" w:hAnsi="宋体"/>
          <w:sz w:val="24"/>
          <w:lang w:eastAsia="zh-CN"/>
        </w:rPr>
        <w:t>采购人依法组建了由院外专家库中随机抽取的专家2人与采购人代表1人，共3人组成的询价小组。</w:t>
      </w:r>
    </w:p>
    <w:p w14:paraId="17584D61">
      <w:pPr>
        <w:spacing w:line="480" w:lineRule="exact"/>
        <w:ind w:firstLine="480" w:firstLineChars="200"/>
        <w:rPr>
          <w:rFonts w:ascii="宋体" w:hAnsi="宋体"/>
          <w:sz w:val="24"/>
          <w:lang w:eastAsia="zh-CN"/>
        </w:rPr>
      </w:pPr>
      <w:r>
        <w:rPr>
          <w:rFonts w:hint="eastAsia" w:ascii="宋体" w:hAnsi="宋体"/>
          <w:b/>
          <w:bCs/>
          <w:sz w:val="24"/>
          <w:lang w:eastAsia="zh-CN"/>
        </w:rPr>
        <w:t>三、评审原则</w:t>
      </w:r>
    </w:p>
    <w:p w14:paraId="06E784B2">
      <w:pPr>
        <w:spacing w:line="480" w:lineRule="exact"/>
        <w:ind w:firstLine="480" w:firstLineChars="200"/>
        <w:rPr>
          <w:rFonts w:ascii="宋体" w:hAnsi="宋体"/>
          <w:sz w:val="24"/>
          <w:lang w:eastAsia="zh-CN"/>
        </w:rPr>
      </w:pPr>
      <w:r>
        <w:rPr>
          <w:rFonts w:hint="eastAsia" w:ascii="宋体" w:hAnsi="宋体"/>
          <w:sz w:val="24"/>
          <w:lang w:eastAsia="zh-CN"/>
        </w:rPr>
        <w:t>询价小组遵循公开透明原则、公平竞争原则、公正原则和诚实信用原则。参照《中华人民共和国政府采购法》、《中华人民共和国政府采购法实施条例》、《政府采购非招标采购方式管理办法》等相关法律、法规和规定、询价通知书，对供应商递交的响应文件的有效性、完整性和对询价通知书的响应程度进行审查，以确定是否对询价通知书的实质性要求作出响应。未对询价通知书做实质性响应的供应商，不得进入具体询价程序。</w:t>
      </w:r>
    </w:p>
    <w:p w14:paraId="36677109">
      <w:pPr>
        <w:spacing w:line="480" w:lineRule="exact"/>
        <w:ind w:firstLine="480" w:firstLineChars="200"/>
        <w:rPr>
          <w:rFonts w:ascii="宋体" w:hAnsi="宋体"/>
          <w:b/>
          <w:bCs/>
          <w:sz w:val="24"/>
          <w:lang w:eastAsia="zh-CN"/>
        </w:rPr>
      </w:pPr>
      <w:r>
        <w:rPr>
          <w:rFonts w:hint="eastAsia" w:ascii="宋体" w:hAnsi="宋体"/>
          <w:sz w:val="24"/>
          <w:lang w:eastAsia="zh-CN"/>
        </w:rPr>
        <w:t>被询价的供应商只能一次报出不得更改的价格，并对询价通知书所列出的全部商务、技术要求做出响应。询价小组从质量和服务均能满足询价通知书实质性响应要求的供应商中，按照报价（如为小微企业，按扣除后的价格）由低到高的顺序推荐前三名为成交候选供应商，成交供应商由采购人依法确定。</w:t>
      </w:r>
    </w:p>
    <w:p w14:paraId="282D21E5">
      <w:pPr>
        <w:spacing w:line="480" w:lineRule="exact"/>
        <w:ind w:firstLine="480" w:firstLineChars="200"/>
        <w:rPr>
          <w:rFonts w:ascii="宋体" w:hAnsi="宋体"/>
          <w:b/>
          <w:bCs/>
          <w:sz w:val="24"/>
          <w:lang w:eastAsia="zh-CN"/>
        </w:rPr>
      </w:pPr>
      <w:r>
        <w:rPr>
          <w:rFonts w:hint="eastAsia" w:ascii="宋体" w:hAnsi="宋体"/>
          <w:b/>
          <w:bCs/>
          <w:sz w:val="24"/>
          <w:lang w:eastAsia="zh-CN"/>
        </w:rPr>
        <w:t>四、响应文件的初审（资格性审查、符合性审查）</w:t>
      </w:r>
    </w:p>
    <w:p w14:paraId="697F15A1">
      <w:pPr>
        <w:spacing w:line="480" w:lineRule="exact"/>
        <w:ind w:firstLine="480" w:firstLineChars="200"/>
        <w:rPr>
          <w:rFonts w:eastAsia="宋体"/>
          <w:sz w:val="24"/>
          <w:lang w:eastAsia="zh-CN"/>
        </w:rPr>
      </w:pPr>
      <w:r>
        <w:rPr>
          <w:rFonts w:hint="eastAsia" w:ascii="宋体" w:hAnsi="宋体"/>
          <w:sz w:val="24"/>
          <w:lang w:eastAsia="zh-CN"/>
        </w:rPr>
        <w:t>响应文件开启结束后，参照有关法律和询价通知书对供应商的资格性、符合性进行审查。在响应</w:t>
      </w:r>
      <w:r>
        <w:rPr>
          <w:rFonts w:hint="eastAsia" w:ascii="宋体" w:hAnsi="宋体"/>
          <w:bCs/>
          <w:sz w:val="24"/>
          <w:lang w:eastAsia="zh-CN"/>
        </w:rPr>
        <w:t>文件的初审</w:t>
      </w:r>
      <w:r>
        <w:rPr>
          <w:rFonts w:hint="eastAsia" w:ascii="宋体" w:hAnsi="宋体" w:cs="宋体"/>
          <w:sz w:val="24"/>
          <w:lang w:eastAsia="zh-CN"/>
        </w:rPr>
        <w:t>时，如不满足下列情况之一的，视为非实质性响应，为无效投标。</w:t>
      </w:r>
    </w:p>
    <w:p w14:paraId="04052A11">
      <w:pPr>
        <w:spacing w:line="360" w:lineRule="auto"/>
        <w:ind w:firstLine="470" w:firstLineChars="196"/>
        <w:rPr>
          <w:rFonts w:ascii="宋体" w:hAnsi="宋体"/>
          <w:sz w:val="24"/>
        </w:rPr>
      </w:pPr>
      <w:r>
        <w:rPr>
          <w:rFonts w:hint="eastAsia"/>
          <w:sz w:val="24"/>
        </w:rPr>
        <w:t>资格性审查：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5459"/>
      </w:tblGrid>
      <w:tr w14:paraId="568C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521" w:type="dxa"/>
            <w:vAlign w:val="center"/>
          </w:tcPr>
          <w:p w14:paraId="19B6417D">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具有独立承担民事责任的能力</w:t>
            </w:r>
          </w:p>
        </w:tc>
        <w:tc>
          <w:tcPr>
            <w:tcW w:w="6333" w:type="dxa"/>
            <w:vAlign w:val="center"/>
          </w:tcPr>
          <w:p w14:paraId="04D31ABC">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审查供应商有效的</w:t>
            </w:r>
            <w:r>
              <w:rPr>
                <w:rFonts w:hint="eastAsia" w:ascii="宋体" w:hAnsi="宋体" w:cs="宋体"/>
                <w:sz w:val="24"/>
                <w:lang w:eastAsia="zh-CN"/>
              </w:rPr>
              <w:t>营业执照等证明文件或者身份证明</w:t>
            </w:r>
            <w:r>
              <w:rPr>
                <w:rFonts w:hint="eastAsia" w:ascii="宋体" w:hAnsi="宋体"/>
                <w:bCs/>
                <w:sz w:val="24"/>
                <w:lang w:eastAsia="zh-CN"/>
              </w:rPr>
              <w:t>。</w:t>
            </w:r>
          </w:p>
        </w:tc>
      </w:tr>
      <w:tr w14:paraId="6D8A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1" w:type="dxa"/>
            <w:vAlign w:val="center"/>
          </w:tcPr>
          <w:p w14:paraId="1F97F8E2">
            <w:pPr>
              <w:widowControl w:val="0"/>
              <w:kinsoku/>
              <w:autoSpaceDE/>
              <w:autoSpaceDN/>
              <w:adjustRightInd/>
              <w:snapToGrid/>
              <w:spacing w:line="440" w:lineRule="exact"/>
              <w:textAlignment w:val="auto"/>
              <w:rPr>
                <w:rFonts w:ascii="宋体" w:hAnsi="宋体"/>
                <w:bCs/>
                <w:sz w:val="24"/>
              </w:rPr>
            </w:pPr>
            <w:r>
              <w:rPr>
                <w:rFonts w:hint="eastAsia" w:ascii="宋体" w:hAnsi="宋体" w:cs="宋体"/>
                <w:sz w:val="24"/>
              </w:rPr>
              <w:t>授权委托书</w:t>
            </w:r>
          </w:p>
        </w:tc>
        <w:tc>
          <w:tcPr>
            <w:tcW w:w="6333" w:type="dxa"/>
            <w:vAlign w:val="center"/>
          </w:tcPr>
          <w:p w14:paraId="011CF568">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cs="宋体"/>
                <w:sz w:val="24"/>
                <w:lang w:eastAsia="zh-CN"/>
              </w:rPr>
              <w:t>授权委托书（含授权人及被授权人身份证）（原件）。</w:t>
            </w:r>
          </w:p>
        </w:tc>
      </w:tr>
      <w:tr w14:paraId="2543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6939A16A">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具有良好的商业信誉和健全的财务会计制度</w:t>
            </w:r>
          </w:p>
        </w:tc>
        <w:tc>
          <w:tcPr>
            <w:tcW w:w="6333" w:type="dxa"/>
            <w:vAlign w:val="center"/>
          </w:tcPr>
          <w:p w14:paraId="40C0A110">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审查供应商2022年度或2023年度经会计师事务所出具的财务审计报告或其基本开户银行出具的近一年内的银行资信证明，或“具有良好的商业信誉和健全的财务会计制度”供应商书面承诺函。</w:t>
            </w:r>
          </w:p>
        </w:tc>
      </w:tr>
      <w:tr w14:paraId="496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44E61E81">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有依法缴纳税收和社会保障资金的良好记录</w:t>
            </w:r>
          </w:p>
        </w:tc>
        <w:tc>
          <w:tcPr>
            <w:tcW w:w="6333" w:type="dxa"/>
            <w:vAlign w:val="center"/>
          </w:tcPr>
          <w:p w14:paraId="70DDDB79">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1.提供递交响应文件截止之日前一年内（至少一个月）的良好缴纳税收的相关凭据。（以税务机关提供的纳税凭据或银行入账单为准）</w:t>
            </w:r>
          </w:p>
          <w:p w14:paraId="5857775A">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2.提供递交响应文件截止之日前一年内（至少一个月）缴纳社会保险的凭证。（以专用收据或社会保险缴纳清单为准）</w:t>
            </w:r>
          </w:p>
          <w:p w14:paraId="3F08543E">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注：（1）其他组织和自然人也需要提供缴纳税收的凭据及缴纳社保的凭据。依法免税或不需要缴纳社会保障资金的供应商，应提供相应文件证明其依法免税或不需要缴纳社会保障资金。（2）响应文件提交截止时间当月成立的供应商，完成税务登记和社会保障登记，视同满足本项资格条件要求。</w:t>
            </w:r>
          </w:p>
        </w:tc>
      </w:tr>
      <w:tr w14:paraId="261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77515856">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具有履行合同所必须的设备和专业技术能力</w:t>
            </w:r>
          </w:p>
        </w:tc>
        <w:tc>
          <w:tcPr>
            <w:tcW w:w="6333" w:type="dxa"/>
            <w:vAlign w:val="center"/>
          </w:tcPr>
          <w:p w14:paraId="09819195">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审查供应商出具的“具有履行合同所必须的设备和专业技术能力”声明函。</w:t>
            </w:r>
          </w:p>
        </w:tc>
      </w:tr>
      <w:tr w14:paraId="1A0A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1A566C4F">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参加政府采购活动前</w:t>
            </w:r>
            <w:r>
              <w:rPr>
                <w:rFonts w:ascii="宋体" w:hAnsi="宋体"/>
                <w:bCs/>
                <w:sz w:val="24"/>
                <w:lang w:eastAsia="zh-CN"/>
              </w:rPr>
              <w:t>三年</w:t>
            </w:r>
            <w:r>
              <w:rPr>
                <w:rFonts w:hint="eastAsia" w:ascii="宋体" w:hAnsi="宋体"/>
                <w:bCs/>
                <w:sz w:val="24"/>
                <w:lang w:eastAsia="zh-CN"/>
              </w:rPr>
              <w:t>内，在经营活动中没有重大违法记录</w:t>
            </w:r>
          </w:p>
        </w:tc>
        <w:tc>
          <w:tcPr>
            <w:tcW w:w="6333" w:type="dxa"/>
            <w:vAlign w:val="center"/>
          </w:tcPr>
          <w:p w14:paraId="201894A7">
            <w:pPr>
              <w:widowControl w:val="0"/>
              <w:kinsoku/>
              <w:autoSpaceDE/>
              <w:autoSpaceDN/>
              <w:adjustRightInd/>
              <w:snapToGrid/>
              <w:spacing w:line="440" w:lineRule="exact"/>
              <w:textAlignment w:val="auto"/>
              <w:rPr>
                <w:rFonts w:ascii="宋体" w:hAnsi="宋体"/>
                <w:bCs/>
                <w:sz w:val="24"/>
                <w:lang w:eastAsia="zh-CN"/>
              </w:rPr>
            </w:pPr>
            <w:r>
              <w:rPr>
                <w:rFonts w:hint="eastAsia" w:ascii="宋体" w:hAnsi="宋体"/>
                <w:bCs/>
                <w:sz w:val="24"/>
                <w:lang w:eastAsia="zh-CN"/>
              </w:rPr>
              <w:t>审查供应商参加本次投标活动前</w:t>
            </w:r>
            <w:r>
              <w:rPr>
                <w:rFonts w:ascii="宋体" w:hAnsi="宋体"/>
                <w:bCs/>
                <w:sz w:val="24"/>
                <w:lang w:eastAsia="zh-CN"/>
              </w:rPr>
              <w:t>三年</w:t>
            </w:r>
            <w:r>
              <w:rPr>
                <w:rFonts w:hint="eastAsia" w:ascii="宋体" w:hAnsi="宋体"/>
                <w:bCs/>
                <w:sz w:val="24"/>
                <w:lang w:eastAsia="zh-CN"/>
              </w:rPr>
              <w:t>内在经营活动中没有重大违法记录的书面声明。</w:t>
            </w:r>
          </w:p>
        </w:tc>
      </w:tr>
      <w:tr w14:paraId="5DE4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58523AD2">
            <w:pPr>
              <w:widowControl w:val="0"/>
              <w:kinsoku/>
              <w:autoSpaceDE/>
              <w:autoSpaceDN/>
              <w:adjustRightInd/>
              <w:snapToGrid/>
              <w:spacing w:line="440" w:lineRule="exact"/>
              <w:textAlignment w:val="auto"/>
              <w:rPr>
                <w:rFonts w:ascii="宋体" w:hAnsi="宋体"/>
                <w:bCs/>
                <w:color w:val="auto"/>
                <w:sz w:val="24"/>
              </w:rPr>
            </w:pPr>
            <w:r>
              <w:rPr>
                <w:rFonts w:hint="eastAsia" w:ascii="宋体" w:hAnsi="宋体"/>
                <w:bCs/>
                <w:color w:val="auto"/>
                <w:sz w:val="24"/>
              </w:rPr>
              <w:t>信用记录</w:t>
            </w:r>
          </w:p>
        </w:tc>
        <w:tc>
          <w:tcPr>
            <w:tcW w:w="6333" w:type="dxa"/>
            <w:vAlign w:val="center"/>
          </w:tcPr>
          <w:p w14:paraId="26DB1F3B">
            <w:pPr>
              <w:widowControl w:val="0"/>
              <w:kinsoku/>
              <w:autoSpaceDE/>
              <w:autoSpaceDN/>
              <w:adjustRightInd/>
              <w:snapToGrid/>
              <w:spacing w:line="440" w:lineRule="exact"/>
              <w:textAlignment w:val="auto"/>
              <w:rPr>
                <w:rFonts w:ascii="宋体" w:hAnsi="宋体"/>
                <w:bCs/>
                <w:color w:val="auto"/>
                <w:sz w:val="24"/>
                <w:lang w:eastAsia="zh-CN"/>
              </w:rPr>
            </w:pPr>
            <w:r>
              <w:rPr>
                <w:rFonts w:hint="eastAsia" w:ascii="宋体" w:hAnsi="宋体"/>
                <w:bCs/>
                <w:color w:val="auto"/>
                <w:sz w:val="24"/>
                <w:lang w:eastAsia="zh-CN"/>
              </w:rPr>
              <w:t>开标结束后资格审查时，供应商未被列入失信被执行人、重大税收违法案件当事人名单、政府采购严重违法失信行为记录名单。</w:t>
            </w:r>
          </w:p>
        </w:tc>
      </w:tr>
      <w:tr w14:paraId="4BBE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vAlign w:val="center"/>
          </w:tcPr>
          <w:p w14:paraId="2A06C22C">
            <w:pPr>
              <w:widowControl w:val="0"/>
              <w:kinsoku/>
              <w:autoSpaceDE/>
              <w:autoSpaceDN/>
              <w:adjustRightInd/>
              <w:snapToGrid/>
              <w:spacing w:line="440" w:lineRule="exact"/>
              <w:textAlignment w:val="auto"/>
              <w:rPr>
                <w:rFonts w:ascii="宋体" w:hAnsi="宋体"/>
                <w:bCs/>
                <w:color w:val="auto"/>
                <w:sz w:val="24"/>
              </w:rPr>
            </w:pPr>
            <w:r>
              <w:rPr>
                <w:rFonts w:hint="eastAsia" w:ascii="宋体" w:hAnsi="宋体"/>
                <w:bCs/>
                <w:color w:val="auto"/>
                <w:sz w:val="24"/>
                <w:lang w:eastAsia="zh-CN"/>
              </w:rPr>
              <w:t>资质要</w:t>
            </w:r>
            <w:r>
              <w:rPr>
                <w:rFonts w:hint="eastAsia" w:ascii="宋体" w:hAnsi="宋体"/>
                <w:bCs/>
                <w:color w:val="auto"/>
                <w:sz w:val="24"/>
              </w:rPr>
              <w:t>求</w:t>
            </w:r>
          </w:p>
        </w:tc>
        <w:tc>
          <w:tcPr>
            <w:tcW w:w="6333" w:type="dxa"/>
            <w:vAlign w:val="center"/>
          </w:tcPr>
          <w:p w14:paraId="1E9B72E5">
            <w:pPr>
              <w:widowControl w:val="0"/>
              <w:kinsoku/>
              <w:autoSpaceDE/>
              <w:autoSpaceDN/>
              <w:adjustRightInd/>
              <w:snapToGrid/>
              <w:spacing w:line="480" w:lineRule="exact"/>
              <w:textAlignment w:val="auto"/>
              <w:rPr>
                <w:rFonts w:ascii="宋体" w:hAnsi="宋体" w:eastAsia="宋体" w:cs="宋体"/>
                <w:color w:val="auto"/>
                <w:sz w:val="24"/>
                <w:szCs w:val="24"/>
                <w:shd w:val="clear" w:color="auto" w:fill="FFFFFF"/>
                <w:lang w:eastAsia="zh-CN"/>
              </w:rPr>
            </w:pPr>
            <w:r>
              <w:rPr>
                <w:rFonts w:hint="eastAsia" w:ascii="宋体" w:hAnsi="宋体" w:cs="宋体"/>
                <w:color w:val="auto"/>
                <w:sz w:val="24"/>
                <w:lang w:eastAsia="zh-CN"/>
              </w:rPr>
              <w:t>（1）</w:t>
            </w:r>
            <w:r>
              <w:rPr>
                <w:rFonts w:hint="eastAsia" w:ascii="宋体" w:hAnsi="宋体" w:cs="宋体"/>
                <w:color w:val="auto"/>
                <w:sz w:val="24"/>
                <w:shd w:val="clear" w:color="auto" w:fill="FFFFFF"/>
                <w:lang w:eastAsia="zh-CN"/>
              </w:rPr>
              <w:t>如供应商是生产企业需具备</w:t>
            </w:r>
            <w:r>
              <w:rPr>
                <w:rFonts w:hint="eastAsia" w:ascii="宋体" w:hAnsi="宋体" w:cs="宋体"/>
                <w:color w:val="auto"/>
                <w:sz w:val="24"/>
                <w:lang w:eastAsia="zh-CN"/>
              </w:rPr>
              <w:t>《医疗器械注册证》、</w:t>
            </w:r>
            <w:r>
              <w:rPr>
                <w:rFonts w:hint="eastAsia" w:ascii="宋体" w:hAnsi="宋体" w:cs="宋体"/>
                <w:color w:val="auto"/>
                <w:sz w:val="24"/>
                <w:shd w:val="clear" w:color="auto" w:fill="FFFFFF"/>
                <w:lang w:eastAsia="zh-CN"/>
              </w:rPr>
              <w:t>《医疗器械生产许可证》、《</w:t>
            </w:r>
            <w:r>
              <w:rPr>
                <w:rFonts w:hint="eastAsia" w:ascii="宋体" w:hAnsi="宋体" w:eastAsia="宋体" w:cs="宋体"/>
                <w:color w:val="auto"/>
                <w:sz w:val="24"/>
                <w:shd w:val="clear" w:color="auto" w:fill="FFFFFF"/>
                <w:lang w:eastAsia="zh-CN"/>
              </w:rPr>
              <w:t>产品检验报告</w:t>
            </w:r>
            <w:r>
              <w:rPr>
                <w:rFonts w:hint="eastAsia" w:ascii="宋体" w:hAnsi="宋体" w:cs="宋体"/>
                <w:color w:val="auto"/>
                <w:sz w:val="24"/>
                <w:shd w:val="clear" w:color="auto" w:fill="FFFFFF"/>
                <w:lang w:eastAsia="zh-CN"/>
              </w:rPr>
              <w:t>》</w:t>
            </w:r>
          </w:p>
          <w:p w14:paraId="63E8E720">
            <w:pPr>
              <w:widowControl w:val="0"/>
              <w:kinsoku/>
              <w:autoSpaceDE/>
              <w:autoSpaceDN/>
              <w:adjustRightInd/>
              <w:snapToGrid/>
              <w:spacing w:line="480" w:lineRule="exact"/>
              <w:textAlignment w:val="auto"/>
              <w:rPr>
                <w:rFonts w:ascii="宋体" w:hAnsi="宋体"/>
                <w:bCs/>
                <w:color w:val="auto"/>
                <w:sz w:val="24"/>
                <w:lang w:eastAsia="zh-CN"/>
              </w:rPr>
            </w:pPr>
            <w:r>
              <w:rPr>
                <w:rFonts w:hint="eastAsia" w:ascii="宋体" w:hAnsi="宋体" w:eastAsia="宋体" w:cs="宋体"/>
                <w:color w:val="auto"/>
                <w:sz w:val="24"/>
                <w:szCs w:val="24"/>
                <w:shd w:val="clear" w:color="auto" w:fill="FFFFFF"/>
                <w:lang w:eastAsia="zh-CN"/>
              </w:rPr>
              <w:t>（2）</w:t>
            </w:r>
            <w:r>
              <w:rPr>
                <w:rFonts w:hint="eastAsia" w:ascii="宋体" w:hAnsi="宋体" w:cs="宋体"/>
                <w:color w:val="auto"/>
                <w:sz w:val="24"/>
                <w:shd w:val="clear" w:color="auto" w:fill="FFFFFF"/>
                <w:lang w:eastAsia="zh-CN"/>
              </w:rPr>
              <w:t>如供应商是经营企业需同时具备《医疗器械经营许可证》</w:t>
            </w:r>
          </w:p>
        </w:tc>
      </w:tr>
    </w:tbl>
    <w:p w14:paraId="6E258809">
      <w:pPr>
        <w:spacing w:line="360" w:lineRule="auto"/>
        <w:rPr>
          <w:rFonts w:ascii="宋体" w:hAnsi="宋体"/>
          <w:b/>
          <w:sz w:val="24"/>
          <w:lang w:eastAsia="zh-CN"/>
        </w:rPr>
      </w:pPr>
    </w:p>
    <w:p w14:paraId="14F54B17">
      <w:pPr>
        <w:spacing w:line="480" w:lineRule="exact"/>
        <w:ind w:firstLine="480" w:firstLineChars="200"/>
        <w:rPr>
          <w:rFonts w:ascii="宋体" w:hAnsi="宋体"/>
          <w:sz w:val="24"/>
          <w:lang w:eastAsia="zh-CN"/>
        </w:rPr>
      </w:pPr>
    </w:p>
    <w:p w14:paraId="68DDE132">
      <w:pPr>
        <w:spacing w:line="480" w:lineRule="exact"/>
        <w:ind w:firstLine="480" w:firstLineChars="200"/>
        <w:rPr>
          <w:rFonts w:ascii="宋体" w:hAnsi="宋体"/>
          <w:sz w:val="24"/>
        </w:rPr>
      </w:pPr>
      <w:r>
        <w:rPr>
          <w:rFonts w:hint="eastAsia" w:ascii="宋体" w:hAnsi="宋体"/>
          <w:sz w:val="24"/>
        </w:rPr>
        <w:t>符合性审查：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5935"/>
      </w:tblGrid>
      <w:tr w14:paraId="13F0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624D269C">
            <w:pPr>
              <w:widowControl w:val="0"/>
              <w:kinsoku/>
              <w:autoSpaceDE/>
              <w:autoSpaceDN/>
              <w:adjustRightInd/>
              <w:snapToGrid/>
              <w:spacing w:line="400" w:lineRule="exact"/>
              <w:jc w:val="both"/>
              <w:textAlignment w:val="auto"/>
              <w:rPr>
                <w:rFonts w:ascii="宋体" w:hAnsi="宋体"/>
                <w:sz w:val="24"/>
              </w:rPr>
            </w:pPr>
            <w:r>
              <w:rPr>
                <w:rFonts w:ascii="宋体" w:hAnsi="宋体" w:cs="宋体"/>
                <w:sz w:val="24"/>
              </w:rPr>
              <w:t>报价</w:t>
            </w:r>
          </w:p>
        </w:tc>
        <w:tc>
          <w:tcPr>
            <w:tcW w:w="5935" w:type="dxa"/>
          </w:tcPr>
          <w:p w14:paraId="1E25D3FB">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报价（包括分项报价，投标总报价）只能有一个有效报价且不超过采购预算或最高限价，报价不得缺项、漏项。</w:t>
            </w:r>
          </w:p>
        </w:tc>
      </w:tr>
      <w:tr w14:paraId="01E5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2101A112">
            <w:pPr>
              <w:widowControl w:val="0"/>
              <w:kinsoku/>
              <w:autoSpaceDE/>
              <w:autoSpaceDN/>
              <w:adjustRightInd/>
              <w:snapToGrid/>
              <w:spacing w:line="400" w:lineRule="exact"/>
              <w:jc w:val="both"/>
              <w:textAlignment w:val="auto"/>
              <w:rPr>
                <w:rFonts w:ascii="宋体" w:hAnsi="宋体"/>
                <w:sz w:val="24"/>
                <w:lang w:eastAsia="zh-CN"/>
              </w:rPr>
            </w:pPr>
            <w:r>
              <w:rPr>
                <w:rFonts w:hint="eastAsia" w:ascii="宋体" w:hAnsi="宋体"/>
                <w:sz w:val="24"/>
                <w:lang w:eastAsia="zh-CN"/>
              </w:rPr>
              <w:t>响应文件规范性、符合性</w:t>
            </w:r>
          </w:p>
        </w:tc>
        <w:tc>
          <w:tcPr>
            <w:tcW w:w="5935" w:type="dxa"/>
          </w:tcPr>
          <w:p w14:paraId="45B8F6E4">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响应文件的签署、盖章、涂改、删除、插字、公章使用等符合询价通知书要求；响应文件文件的格式、文字、目录等符合询价通知书要求或对投标无实质性影响。</w:t>
            </w:r>
          </w:p>
        </w:tc>
      </w:tr>
      <w:tr w14:paraId="51A9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0F8A30F6">
            <w:pPr>
              <w:widowControl w:val="0"/>
              <w:kinsoku/>
              <w:autoSpaceDE/>
              <w:autoSpaceDN/>
              <w:adjustRightInd/>
              <w:snapToGrid/>
              <w:spacing w:line="400" w:lineRule="exact"/>
              <w:jc w:val="both"/>
              <w:textAlignment w:val="auto"/>
              <w:rPr>
                <w:rFonts w:ascii="宋体" w:hAnsi="宋体"/>
                <w:sz w:val="24"/>
              </w:rPr>
            </w:pPr>
            <w:r>
              <w:rPr>
                <w:rFonts w:hint="eastAsia" w:ascii="宋体" w:hAnsi="宋体"/>
                <w:sz w:val="24"/>
              </w:rPr>
              <w:t>主要商务条款</w:t>
            </w:r>
          </w:p>
        </w:tc>
        <w:tc>
          <w:tcPr>
            <w:tcW w:w="5935" w:type="dxa"/>
          </w:tcPr>
          <w:p w14:paraId="1D88913B">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审查供应商出具的“满足主要商务条款的承诺书”，且进行盖章。</w:t>
            </w:r>
          </w:p>
        </w:tc>
      </w:tr>
      <w:tr w14:paraId="48E5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66EA7F08">
            <w:pPr>
              <w:widowControl w:val="0"/>
              <w:kinsoku/>
              <w:autoSpaceDE/>
              <w:autoSpaceDN/>
              <w:adjustRightInd/>
              <w:snapToGrid/>
              <w:spacing w:line="400" w:lineRule="exact"/>
              <w:jc w:val="both"/>
              <w:textAlignment w:val="auto"/>
              <w:rPr>
                <w:rFonts w:ascii="宋体" w:hAnsi="宋体"/>
                <w:sz w:val="24"/>
              </w:rPr>
            </w:pPr>
            <w:r>
              <w:rPr>
                <w:rFonts w:hint="eastAsia" w:ascii="宋体" w:hAnsi="宋体"/>
                <w:sz w:val="24"/>
              </w:rPr>
              <w:t xml:space="preserve">联合体投标 </w:t>
            </w:r>
          </w:p>
        </w:tc>
        <w:tc>
          <w:tcPr>
            <w:tcW w:w="5935" w:type="dxa"/>
          </w:tcPr>
          <w:p w14:paraId="6407AA1D">
            <w:pPr>
              <w:widowControl w:val="0"/>
              <w:kinsoku/>
              <w:autoSpaceDE/>
              <w:autoSpaceDN/>
              <w:adjustRightInd/>
              <w:snapToGrid/>
              <w:spacing w:line="400" w:lineRule="exact"/>
              <w:textAlignment w:val="auto"/>
              <w:rPr>
                <w:rFonts w:ascii="宋体" w:hAnsi="宋体"/>
                <w:sz w:val="24"/>
                <w:lang w:eastAsia="zh-CN"/>
              </w:rPr>
            </w:pPr>
            <w:r>
              <w:rPr>
                <w:rFonts w:ascii="宋体" w:hAnsi="宋体" w:cs="宋体"/>
                <w:sz w:val="24"/>
                <w:lang w:eastAsia="zh-CN"/>
              </w:rPr>
              <w:t>符合关于联合体投标的相关规定</w:t>
            </w:r>
          </w:p>
        </w:tc>
      </w:tr>
      <w:tr w14:paraId="04CF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1DCEEB4B">
            <w:pPr>
              <w:widowControl w:val="0"/>
              <w:kinsoku/>
              <w:autoSpaceDE/>
              <w:autoSpaceDN/>
              <w:adjustRightInd/>
              <w:snapToGrid/>
              <w:spacing w:line="400" w:lineRule="exact"/>
              <w:jc w:val="both"/>
              <w:textAlignment w:val="auto"/>
              <w:rPr>
                <w:rFonts w:ascii="宋体" w:hAnsi="宋体"/>
                <w:sz w:val="24"/>
              </w:rPr>
            </w:pPr>
            <w:r>
              <w:rPr>
                <w:rFonts w:hint="eastAsia" w:ascii="宋体" w:hAnsi="宋体"/>
                <w:sz w:val="24"/>
              </w:rPr>
              <w:t>技术部分实质性内容</w:t>
            </w:r>
          </w:p>
        </w:tc>
        <w:tc>
          <w:tcPr>
            <w:tcW w:w="5935" w:type="dxa"/>
          </w:tcPr>
          <w:p w14:paraId="3069F38F">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 xml:space="preserve">1.明确所投标的的产品品牌、规格型号或服务内容或工程量； </w:t>
            </w:r>
          </w:p>
          <w:p w14:paraId="24F1ABD4">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2.响应文件应当对询价通知书提出的要求和条件作出明确响应并满足询价通知书全部实质性要求。</w:t>
            </w:r>
          </w:p>
        </w:tc>
      </w:tr>
      <w:tr w14:paraId="14CE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vAlign w:val="center"/>
          </w:tcPr>
          <w:p w14:paraId="091DEBA1">
            <w:pPr>
              <w:widowControl w:val="0"/>
              <w:kinsoku/>
              <w:autoSpaceDE/>
              <w:autoSpaceDN/>
              <w:adjustRightInd/>
              <w:snapToGrid/>
              <w:spacing w:line="400" w:lineRule="exact"/>
              <w:jc w:val="both"/>
              <w:textAlignment w:val="auto"/>
              <w:rPr>
                <w:rFonts w:ascii="宋体" w:hAnsi="宋体"/>
                <w:sz w:val="24"/>
              </w:rPr>
            </w:pPr>
            <w:r>
              <w:rPr>
                <w:rFonts w:ascii="宋体" w:hAnsi="宋体" w:cs="宋体"/>
                <w:sz w:val="24"/>
              </w:rPr>
              <w:t>其他要求</w:t>
            </w:r>
          </w:p>
        </w:tc>
        <w:tc>
          <w:tcPr>
            <w:tcW w:w="5935" w:type="dxa"/>
          </w:tcPr>
          <w:p w14:paraId="649BB740">
            <w:pPr>
              <w:widowControl w:val="0"/>
              <w:kinsoku/>
              <w:autoSpaceDE/>
              <w:autoSpaceDN/>
              <w:adjustRightInd/>
              <w:snapToGrid/>
              <w:spacing w:line="400" w:lineRule="exact"/>
              <w:textAlignment w:val="auto"/>
              <w:rPr>
                <w:rFonts w:ascii="宋体" w:hAnsi="宋体"/>
                <w:sz w:val="24"/>
                <w:lang w:eastAsia="zh-CN"/>
              </w:rPr>
            </w:pPr>
            <w:r>
              <w:rPr>
                <w:rFonts w:hint="eastAsia" w:ascii="宋体" w:hAnsi="宋体"/>
                <w:sz w:val="24"/>
                <w:lang w:eastAsia="zh-CN"/>
              </w:rPr>
              <w:t>询价通知书要求的其他无效投标情形；围标、串标和法律法规规定的其它无效投标条款。</w:t>
            </w:r>
          </w:p>
        </w:tc>
      </w:tr>
    </w:tbl>
    <w:p w14:paraId="0647E9F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2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60" w:after="60" w:line="440" w:lineRule="exact"/>
      <w:ind w:right="-8" w:rightChars="-4" w:firstLine="490" w:firstLineChars="204"/>
    </w:pPr>
    <w:rPr>
      <w:bCs/>
      <w:sz w:val="24"/>
      <w:szCs w:val="20"/>
    </w:rPr>
  </w:style>
  <w:style w:type="paragraph" w:customStyle="1" w:styleId="5">
    <w:name w:val="Table Text"/>
    <w:basedOn w:val="1"/>
    <w:semiHidden/>
    <w:qFormat/>
    <w:uiPriority w:val="0"/>
    <w:rPr>
      <w:rFonts w:ascii="宋体" w:hAnsi="宋体" w:eastAsia="宋体" w:cs="宋体"/>
      <w:sz w:val="17"/>
      <w:szCs w:val="1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2025-08-19T08:32:15Z</dcterms:created>
  <dc:creator>1</dc:creator>
  <cp:lastModifiedBy>大地（13150809522）</cp:lastModifiedBy>
  <dcterms:modified xsi:type="dcterms:W3CDTF">2025-08-19T08:32:34Z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eyJoZGlkIjoiYTI3MTkxMTI0YjBmYWViYTE0N2EzM2MwMzc2YWE0YWYiLCJ1c2VySWQiOiIxMzMyMzI3NTY0In0=</vt:lpwstr>
  </property>
  <property fmtid="{D5CDD505-2E9C-101B-9397-08002B2CF9AE}" pid="4" name="ICV">
    <vt:lpwstr>3C2DAF7DF36848B89B4C3DCE7A8CE552_12</vt:lpwstr>
  </property>
</Properties>
</file>