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3FAD">
      <w:pPr>
        <w:spacing w:line="480" w:lineRule="exact"/>
        <w:jc w:val="center"/>
        <w:rPr>
          <w:rFonts w:hint="default" w:ascii="宋体" w:hAnsi="宋体"/>
          <w:sz w:val="24"/>
          <w:lang w:val="en-US" w:eastAsia="zh-CN"/>
        </w:rPr>
      </w:pPr>
      <w:bookmarkStart w:id="0" w:name="_GoBack"/>
      <w:bookmarkEnd w:id="0"/>
      <w:r>
        <w:rPr>
          <w:rFonts w:hint="eastAsia" w:eastAsia="黑体"/>
          <w:sz w:val="30"/>
          <w:lang w:val="en-US" w:eastAsia="zh-CN"/>
        </w:rPr>
        <w:t>采购内容和技术要求</w:t>
      </w:r>
    </w:p>
    <w:p w14:paraId="59243E86">
      <w:pPr>
        <w:spacing w:line="480" w:lineRule="exact"/>
        <w:ind w:firstLine="480" w:firstLineChars="200"/>
        <w:rPr>
          <w:rFonts w:ascii="宋体"/>
          <w:bCs/>
          <w:sz w:val="24"/>
          <w:lang w:eastAsia="zh-CN"/>
        </w:rPr>
      </w:pPr>
      <w:r>
        <w:rPr>
          <w:rFonts w:hint="eastAsia" w:ascii="宋体"/>
          <w:bCs/>
          <w:sz w:val="24"/>
          <w:lang w:eastAsia="zh-CN"/>
        </w:rPr>
        <w:t>呼和浩特市妇幼保健院妇幼保健院</w:t>
      </w:r>
      <w:r>
        <w:rPr>
          <w:rFonts w:hint="eastAsia" w:ascii="宋体" w:eastAsia="宋体"/>
          <w:bCs/>
          <w:sz w:val="24"/>
          <w:lang w:eastAsia="zh-CN"/>
        </w:rPr>
        <w:t>医疗设备维修询价</w:t>
      </w:r>
      <w:r>
        <w:rPr>
          <w:rFonts w:ascii="宋体"/>
          <w:bCs/>
          <w:sz w:val="24"/>
          <w:lang w:eastAsia="zh-CN"/>
        </w:rPr>
        <w:t>采购项目，</w:t>
      </w:r>
      <w:r>
        <w:rPr>
          <w:rFonts w:hint="eastAsia" w:ascii="宋体" w:hAnsi="宋体" w:cs="宋体"/>
          <w:sz w:val="24"/>
          <w:lang w:eastAsia="zh-CN"/>
        </w:rPr>
        <w:t>采购编号：HSFY-YXK-202</w:t>
      </w:r>
      <w:r>
        <w:rPr>
          <w:rFonts w:hint="eastAsia" w:ascii="宋体" w:hAnsi="宋体" w:cs="宋体"/>
          <w:sz w:val="24"/>
          <w:lang w:val="en-US" w:eastAsia="zh-CN"/>
        </w:rPr>
        <w:t>6034</w:t>
      </w:r>
      <w:r>
        <w:rPr>
          <w:rFonts w:ascii="宋体"/>
          <w:bCs/>
          <w:sz w:val="24"/>
          <w:lang w:eastAsia="zh-CN"/>
        </w:rPr>
        <w:t>。</w:t>
      </w:r>
      <w:r>
        <w:rPr>
          <w:rFonts w:ascii="宋体"/>
          <w:bCs/>
          <w:sz w:val="24"/>
        </w:rPr>
        <w:t>本项目预算金额为</w:t>
      </w:r>
      <w:r>
        <w:rPr>
          <w:rFonts w:hint="eastAsia" w:ascii="宋体" w:eastAsia="宋体"/>
          <w:bCs/>
          <w:sz w:val="24"/>
          <w:lang w:val="en-US" w:eastAsia="zh-CN"/>
        </w:rPr>
        <w:t>20900</w:t>
      </w:r>
      <w:r>
        <w:rPr>
          <w:rFonts w:ascii="宋体"/>
          <w:bCs/>
          <w:sz w:val="24"/>
        </w:rPr>
        <w:t>元，</w:t>
      </w:r>
      <w:r>
        <w:rPr>
          <w:rFonts w:hint="eastAsia" w:ascii="宋体" w:hAnsi="宋体"/>
          <w:bCs/>
          <w:sz w:val="24"/>
        </w:rPr>
        <w:t>供应商报价（分项报价）均不得超过相应的采购预算，</w:t>
      </w:r>
      <w:r>
        <w:rPr>
          <w:rFonts w:hint="eastAsia" w:ascii="宋体" w:hAnsi="宋体"/>
          <w:bCs/>
          <w:color w:val="auto"/>
          <w:sz w:val="24"/>
        </w:rPr>
        <w:t>否则</w:t>
      </w:r>
      <w:r>
        <w:rPr>
          <w:rFonts w:hint="eastAsia" w:ascii="宋体" w:hAnsi="宋体"/>
          <w:color w:val="auto"/>
          <w:sz w:val="24"/>
        </w:rPr>
        <w:t>响应文件无效</w:t>
      </w:r>
      <w:r>
        <w:rPr>
          <w:rFonts w:ascii="宋体"/>
          <w:bCs/>
          <w:color w:val="auto"/>
          <w:sz w:val="24"/>
        </w:rPr>
        <w:t>。</w:t>
      </w:r>
    </w:p>
    <w:p w14:paraId="0353A701">
      <w:pPr>
        <w:numPr>
          <w:ilvl w:val="0"/>
          <w:numId w:val="1"/>
        </w:numPr>
        <w:spacing w:line="480" w:lineRule="exact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eastAsia="宋体"/>
          <w:bCs/>
          <w:sz w:val="24"/>
          <w:lang w:val="en-US" w:eastAsia="zh-CN"/>
        </w:rPr>
        <w:t>采购内容和技术要求</w:t>
      </w:r>
    </w:p>
    <w:p w14:paraId="031AE3B4">
      <w:pPr>
        <w:spacing w:before="104" w:line="219" w:lineRule="auto"/>
        <w:jc w:val="center"/>
        <w:outlineLvl w:val="0"/>
        <w:rPr>
          <w:rFonts w:ascii="宋体"/>
          <w:bCs/>
          <w:sz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（一）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医疗设备</w:t>
      </w:r>
      <w:r>
        <w:rPr>
          <w:rFonts w:hint="eastAsia" w:ascii="宋体" w:hAnsi="宋体" w:cs="宋体"/>
          <w:b/>
          <w:bCs/>
          <w:sz w:val="28"/>
          <w:szCs w:val="28"/>
        </w:rPr>
        <w:t>参数</w:t>
      </w:r>
    </w:p>
    <w:tbl>
      <w:tblPr>
        <w:tblStyle w:val="3"/>
        <w:tblW w:w="11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72"/>
        <w:gridCol w:w="967"/>
        <w:gridCol w:w="1442"/>
        <w:gridCol w:w="1673"/>
        <w:gridCol w:w="4692"/>
      </w:tblGrid>
      <w:tr w14:paraId="215E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2" w:hRule="atLeast"/>
          <w:jc w:val="center"/>
        </w:trPr>
        <w:tc>
          <w:tcPr>
            <w:tcW w:w="883" w:type="dxa"/>
            <w:vAlign w:val="center"/>
          </w:tcPr>
          <w:p w14:paraId="399E1A0D">
            <w:pPr>
              <w:pStyle w:val="6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72" w:type="dxa"/>
            <w:vAlign w:val="center"/>
          </w:tcPr>
          <w:p w14:paraId="015A3E45">
            <w:pPr>
              <w:pStyle w:val="6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967" w:type="dxa"/>
            <w:vAlign w:val="center"/>
          </w:tcPr>
          <w:p w14:paraId="7E138380">
            <w:pPr>
              <w:pStyle w:val="6"/>
              <w:kinsoku/>
              <w:autoSpaceDE/>
              <w:autoSpaceDN/>
              <w:adjustRightInd/>
              <w:snapToGrid/>
              <w:spacing w:before="172"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2"/>
                <w:sz w:val="24"/>
                <w:szCs w:val="24"/>
              </w:rPr>
              <w:t>数量</w:t>
            </w:r>
          </w:p>
        </w:tc>
        <w:tc>
          <w:tcPr>
            <w:tcW w:w="1442" w:type="dxa"/>
            <w:vAlign w:val="center"/>
          </w:tcPr>
          <w:p w14:paraId="4DA8CCAC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最高限价（预算单价）（元）</w:t>
            </w:r>
          </w:p>
        </w:tc>
        <w:tc>
          <w:tcPr>
            <w:tcW w:w="1673" w:type="dxa"/>
            <w:vAlign w:val="center"/>
          </w:tcPr>
          <w:p w14:paraId="5FC0BB93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最高限价（预算总价）（元）</w:t>
            </w:r>
          </w:p>
        </w:tc>
        <w:tc>
          <w:tcPr>
            <w:tcW w:w="4692" w:type="dxa"/>
            <w:vAlign w:val="center"/>
          </w:tcPr>
          <w:p w14:paraId="7FE8CF1D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参数</w:t>
            </w:r>
          </w:p>
        </w:tc>
      </w:tr>
      <w:tr w14:paraId="073F4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83" w:type="dxa"/>
            <w:vAlign w:val="center"/>
          </w:tcPr>
          <w:p w14:paraId="3BCA7409">
            <w:pPr>
              <w:pStyle w:val="6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2" w:type="dxa"/>
            <w:vAlign w:val="center"/>
          </w:tcPr>
          <w:p w14:paraId="60D2639F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便携式医用内窥镜图像处理器</w:t>
            </w:r>
          </w:p>
        </w:tc>
        <w:tc>
          <w:tcPr>
            <w:tcW w:w="967" w:type="dxa"/>
            <w:vAlign w:val="center"/>
          </w:tcPr>
          <w:p w14:paraId="0244A940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2" w:type="dxa"/>
            <w:vAlign w:val="center"/>
          </w:tcPr>
          <w:p w14:paraId="1F1DB19A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20900</w:t>
            </w:r>
          </w:p>
        </w:tc>
        <w:tc>
          <w:tcPr>
            <w:tcW w:w="1673" w:type="dxa"/>
            <w:vAlign w:val="center"/>
          </w:tcPr>
          <w:p w14:paraId="51332103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20900</w:t>
            </w:r>
          </w:p>
        </w:tc>
        <w:tc>
          <w:tcPr>
            <w:tcW w:w="4692" w:type="dxa"/>
            <w:vAlign w:val="center"/>
          </w:tcPr>
          <w:p w14:paraId="0F7FC8BE">
            <w:pPr>
              <w:numPr>
                <w:ilvl w:val="0"/>
                <w:numId w:val="2"/>
              </w:numPr>
            </w:pPr>
            <w:r>
              <w:rPr>
                <w:spacing w:val="-2"/>
              </w:rPr>
              <w:t>适用内窥镜</w:t>
            </w:r>
            <w:r>
              <w:rPr>
                <w:rFonts w:hint="eastAsia" w:eastAsia="宋体"/>
                <w:spacing w:val="-2"/>
                <w:lang w:eastAsia="zh-CN"/>
              </w:rPr>
              <w:t>：</w:t>
            </w:r>
            <w:r>
              <w:t>可适配多款内窥镜</w:t>
            </w:r>
          </w:p>
          <w:p w14:paraId="0236C4EE"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spacing w:val="6"/>
              </w:rPr>
              <w:t>尺寸</w:t>
            </w:r>
            <w:r>
              <w:rPr>
                <w:rFonts w:hint="eastAsia" w:eastAsia="宋体"/>
                <w:spacing w:val="6"/>
                <w:lang w:eastAsia="zh-CN"/>
              </w:rPr>
              <w:t>：</w:t>
            </w:r>
            <w:r>
              <w:rPr>
                <w:rFonts w:hint="eastAsia" w:ascii="Arial" w:hAnsi="Arial" w:eastAsia="宋体" w:cs="Arial"/>
                <w:szCs w:val="21"/>
              </w:rPr>
              <w:t>≥</w:t>
            </w:r>
            <w:r>
              <w:rPr>
                <w:spacing w:val="2"/>
              </w:rPr>
              <w:t>13.3英寸</w:t>
            </w:r>
          </w:p>
          <w:p w14:paraId="24AC5FD0"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spacing w:val="1"/>
              </w:rPr>
              <w:t>使用内窥镜分辨率</w:t>
            </w:r>
            <w:r>
              <w:rPr>
                <w:rFonts w:hint="eastAsia" w:eastAsia="宋体"/>
                <w:spacing w:val="1"/>
                <w:lang w:eastAsia="zh-CN"/>
              </w:rPr>
              <w:t>：</w:t>
            </w:r>
            <w:r>
              <w:t>支持多种分辨率，</w:t>
            </w:r>
            <w:r>
              <w:rPr>
                <w:rFonts w:hint="eastAsia" w:ascii="Arial" w:hAnsi="Arial" w:eastAsia="宋体" w:cs="Arial"/>
                <w:szCs w:val="21"/>
              </w:rPr>
              <w:t>≥</w:t>
            </w:r>
            <w:r>
              <w:t>16万</w:t>
            </w:r>
            <w:r>
              <w:rPr>
                <w:rFonts w:hint="eastAsia"/>
                <w:lang w:val="en-US" w:eastAsia="zh-CN"/>
              </w:rPr>
              <w:t>和</w:t>
            </w:r>
            <w:r>
              <w:rPr>
                <w:rFonts w:hint="eastAsia" w:ascii="Arial" w:hAnsi="Arial" w:eastAsia="宋体" w:cs="Arial"/>
                <w:szCs w:val="21"/>
              </w:rPr>
              <w:t>≥</w:t>
            </w:r>
            <w:r>
              <w:t>64万像素。</w:t>
            </w:r>
          </w:p>
          <w:p w14:paraId="6D7A96A3"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spacing w:val="-2"/>
              </w:rPr>
              <w:t>输出配置</w:t>
            </w:r>
            <w:r>
              <w:rPr>
                <w:rFonts w:hint="eastAsia" w:eastAsia="宋体"/>
                <w:spacing w:val="-2"/>
                <w:lang w:eastAsia="zh-CN"/>
              </w:rPr>
              <w:t>：</w:t>
            </w:r>
            <w:r>
              <w:t>一路DVI接口输出分辨率分别可达到</w:t>
            </w:r>
            <w:r>
              <w:rPr>
                <w:rFonts w:hint="eastAsia" w:ascii="Arial" w:hAnsi="Arial" w:eastAsia="宋体" w:cs="Arial"/>
                <w:szCs w:val="21"/>
              </w:rPr>
              <w:t>≥</w:t>
            </w:r>
            <w:r>
              <w:t>1080×1</w:t>
            </w:r>
            <w:r>
              <w:rPr>
                <w:spacing w:val="-1"/>
              </w:rPr>
              <w:t>080,30帧率/秒；</w:t>
            </w:r>
            <w:r>
              <w:rPr>
                <w:spacing w:val="-65"/>
              </w:rPr>
              <w:t xml:space="preserve"> </w:t>
            </w:r>
            <w:r>
              <w:rPr>
                <w:spacing w:val="-1"/>
              </w:rPr>
              <w:t>一路SDI接口</w:t>
            </w:r>
            <w:r>
              <w:t xml:space="preserve"> </w:t>
            </w:r>
            <w:r>
              <w:rPr>
                <w:spacing w:val="4"/>
              </w:rPr>
              <w:t>输出分辨率可达到</w:t>
            </w:r>
            <w:r>
              <w:rPr>
                <w:rFonts w:hint="eastAsia" w:ascii="Arial" w:hAnsi="Arial" w:eastAsia="宋体" w:cs="Arial"/>
                <w:szCs w:val="21"/>
              </w:rPr>
              <w:t>≥</w:t>
            </w:r>
            <w:r>
              <w:rPr>
                <w:spacing w:val="4"/>
              </w:rPr>
              <w:t>1080×1080,</w:t>
            </w:r>
            <w:r>
              <w:rPr>
                <w:rFonts w:hint="eastAsia" w:ascii="Arial" w:hAnsi="Arial" w:eastAsia="宋体" w:cs="Arial"/>
                <w:szCs w:val="21"/>
              </w:rPr>
              <w:t>≥</w:t>
            </w:r>
            <w:r>
              <w:rPr>
                <w:spacing w:val="4"/>
              </w:rPr>
              <w:t>30帧率/秒；</w:t>
            </w:r>
          </w:p>
          <w:p w14:paraId="5171CA5A"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spacing w:val="2"/>
              </w:rPr>
              <w:t>亮度调节</w:t>
            </w:r>
            <w:r>
              <w:rPr>
                <w:rFonts w:hint="eastAsia" w:eastAsia="宋体"/>
                <w:spacing w:val="2"/>
                <w:lang w:eastAsia="zh-CN"/>
              </w:rPr>
              <w:t>：</w:t>
            </w:r>
            <w:r>
              <w:rPr>
                <w:spacing w:val="4"/>
              </w:rPr>
              <w:t>具有调光功能</w:t>
            </w:r>
            <w:r>
              <w:rPr>
                <w:rFonts w:hint="eastAsia" w:eastAsia="宋体"/>
                <w:spacing w:val="4"/>
                <w:lang w:eastAsia="zh-CN"/>
              </w:rPr>
              <w:t>，</w:t>
            </w:r>
            <w:r>
              <w:t>调光方式：电子调光方式，0-100%可调</w:t>
            </w:r>
          </w:p>
          <w:p w14:paraId="76C10861"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spacing w:val="-2"/>
              </w:rPr>
              <w:t>边框切换</w:t>
            </w:r>
            <w:r>
              <w:rPr>
                <w:rFonts w:hint="eastAsia" w:eastAsia="宋体"/>
                <w:spacing w:val="-2"/>
                <w:lang w:eastAsia="zh-CN"/>
              </w:rPr>
              <w:t>：</w:t>
            </w:r>
            <w:r>
              <w:t>可切换圆形框、八角形和全景框。</w:t>
            </w:r>
          </w:p>
          <w:p w14:paraId="5F19181C"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spacing w:val="-3"/>
              </w:rPr>
              <w:t>储存</w:t>
            </w:r>
            <w:r>
              <w:rPr>
                <w:rFonts w:hint="eastAsia" w:eastAsia="宋体"/>
                <w:spacing w:val="-3"/>
                <w:lang w:eastAsia="zh-CN"/>
              </w:rPr>
              <w:t>：</w:t>
            </w:r>
            <w:r>
              <w:t>设备具有数据存储和数据导出功能。插入USB存储设备可进行数据导出。</w:t>
            </w:r>
          </w:p>
          <w:p w14:paraId="3920CEE8"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spacing w:val="3"/>
              </w:rPr>
              <w:t>画面放大缩小</w:t>
            </w:r>
            <w:r>
              <w:rPr>
                <w:rFonts w:hint="eastAsia" w:eastAsia="宋体"/>
                <w:spacing w:val="3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可对图像进行放大和缩小显示</w:t>
            </w:r>
          </w:p>
          <w:p w14:paraId="0D1036CB"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spacing w:val="3"/>
              </w:rPr>
              <w:t>画面冻结</w:t>
            </w:r>
            <w:r>
              <w:rPr>
                <w:rFonts w:hint="eastAsia" w:eastAsia="宋体"/>
                <w:spacing w:val="3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具备画面冻结功能</w:t>
            </w:r>
          </w:p>
          <w:p w14:paraId="205F9DC7"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spacing w:val="2"/>
              </w:rPr>
              <w:t>拍照、摄像</w:t>
            </w:r>
            <w:r>
              <w:rPr>
                <w:rFonts w:hint="eastAsia" w:eastAsia="宋体"/>
                <w:spacing w:val="2"/>
                <w:lang w:eastAsia="zh-CN"/>
              </w:rPr>
              <w:t>：</w:t>
            </w:r>
            <w:r>
              <w:t>具有拍照、摄像功能，可以储存和回放。</w:t>
            </w:r>
          </w:p>
          <w:p w14:paraId="7F4DE5BC"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spacing w:val="1"/>
              </w:rPr>
              <w:t>画质参数调整</w:t>
            </w:r>
            <w:r>
              <w:rPr>
                <w:rFonts w:hint="eastAsia" w:eastAsia="宋体"/>
                <w:spacing w:val="1"/>
                <w:lang w:eastAsia="zh-CN"/>
              </w:rPr>
              <w:t>：</w:t>
            </w:r>
            <w:r>
              <w:t>可自由设定亮度、对比度、色调、饱和度。</w:t>
            </w:r>
          </w:p>
          <w:p w14:paraId="65700448"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spacing w:val="-2"/>
              </w:rPr>
              <w:t>记忆功能</w:t>
            </w:r>
            <w:r>
              <w:rPr>
                <w:rFonts w:hint="eastAsia" w:eastAsia="宋体"/>
                <w:spacing w:val="-2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具备参数设置记忆功能</w:t>
            </w:r>
          </w:p>
          <w:p w14:paraId="79173361"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配置：</w:t>
            </w:r>
            <w:r>
              <w:rPr>
                <w:rFonts w:hint="eastAsia" w:eastAsia="宋体"/>
                <w:lang w:val="en-US" w:eastAsia="zh-CN"/>
              </w:rPr>
              <w:t>配置同品牌一次性电子胆道内窥镜导管1条，取石网篮1个</w:t>
            </w:r>
            <w:r>
              <w:rPr>
                <w:rFonts w:hint="eastAsia" w:eastAsia="宋体"/>
                <w:b/>
                <w:bCs/>
                <w:color w:val="304040"/>
                <w:spacing w:val="-4"/>
                <w:sz w:val="34"/>
                <w:szCs w:val="34"/>
                <w:lang w:val="en-US" w:eastAsia="zh-CN"/>
              </w:rPr>
              <w:t>。</w:t>
            </w:r>
          </w:p>
        </w:tc>
      </w:tr>
      <w:tr w14:paraId="2409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83" w:type="dxa"/>
            <w:vAlign w:val="center"/>
          </w:tcPr>
          <w:p w14:paraId="6CB62894">
            <w:pPr>
              <w:pStyle w:val="6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1372" w:type="dxa"/>
            <w:vAlign w:val="center"/>
          </w:tcPr>
          <w:p w14:paraId="52F6EAE3">
            <w:pPr>
              <w:pStyle w:val="6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967" w:type="dxa"/>
            <w:vAlign w:val="center"/>
          </w:tcPr>
          <w:p w14:paraId="659DD643">
            <w:pPr>
              <w:pStyle w:val="6"/>
              <w:kinsoku/>
              <w:autoSpaceDE/>
              <w:autoSpaceDN/>
              <w:adjustRightInd/>
              <w:snapToGrid/>
              <w:spacing w:before="172" w:line="280" w:lineRule="exact"/>
              <w:jc w:val="center"/>
              <w:rPr>
                <w:b/>
                <w:bCs/>
                <w:spacing w:val="-2"/>
                <w:sz w:val="24"/>
                <w:szCs w:val="24"/>
                <w:lang w:eastAsia="zh-CN"/>
              </w:rPr>
            </w:pPr>
          </w:p>
        </w:tc>
        <w:tc>
          <w:tcPr>
            <w:tcW w:w="1442" w:type="dxa"/>
            <w:vAlign w:val="center"/>
          </w:tcPr>
          <w:p w14:paraId="7331B356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Align w:val="center"/>
          </w:tcPr>
          <w:p w14:paraId="54B9D2C4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20900</w:t>
            </w:r>
          </w:p>
        </w:tc>
        <w:tc>
          <w:tcPr>
            <w:tcW w:w="4692" w:type="dxa"/>
            <w:vAlign w:val="center"/>
          </w:tcPr>
          <w:p w14:paraId="77D79206"/>
        </w:tc>
      </w:tr>
    </w:tbl>
    <w:p w14:paraId="5EA2F54B">
      <w:pPr>
        <w:spacing w:before="104" w:line="219" w:lineRule="auto"/>
        <w:jc w:val="both"/>
        <w:outlineLvl w:val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A09C1"/>
    <w:multiLevelType w:val="singleLevel"/>
    <w:tmpl w:val="0A2A09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46DDEEF"/>
    <w:multiLevelType w:val="singleLevel"/>
    <w:tmpl w:val="446DDE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10"/>
    <w:rsid w:val="009D3910"/>
    <w:rsid w:val="00CA65CD"/>
    <w:rsid w:val="02B2038E"/>
    <w:rsid w:val="03EE1A43"/>
    <w:rsid w:val="09782AAE"/>
    <w:rsid w:val="0C2922A3"/>
    <w:rsid w:val="0DD137B1"/>
    <w:rsid w:val="136C53C8"/>
    <w:rsid w:val="15C4140A"/>
    <w:rsid w:val="206850FD"/>
    <w:rsid w:val="244F7598"/>
    <w:rsid w:val="25A16BBC"/>
    <w:rsid w:val="27293087"/>
    <w:rsid w:val="2BC77F54"/>
    <w:rsid w:val="37334B78"/>
    <w:rsid w:val="3F5B6F9C"/>
    <w:rsid w:val="41580685"/>
    <w:rsid w:val="4A9910AE"/>
    <w:rsid w:val="4B896733"/>
    <w:rsid w:val="4BB422DD"/>
    <w:rsid w:val="501452FD"/>
    <w:rsid w:val="5C0D24AA"/>
    <w:rsid w:val="68BE495C"/>
    <w:rsid w:val="73082DBB"/>
    <w:rsid w:val="74865B4B"/>
    <w:rsid w:val="7AA7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534</Characters>
  <Lines>117</Lines>
  <Paragraphs>45</Paragraphs>
  <TotalTime>0</TotalTime>
  <ScaleCrop>false</ScaleCrop>
  <LinksUpToDate>false</LinksUpToDate>
  <CharactersWithSpaces>537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2025-10-09T01:36:00Z</dcterms:created>
  <dc:creator>冠亚军</dc:creator>
  <cp:lastModifiedBy>弄啥咧</cp:lastModifiedBy>
  <dcterms:modified xsi:type="dcterms:W3CDTF">2026-06-10T01:31:24Z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eyJoZGlkIjoiZWM4Y2YzOTg4ZTQ5Y2VlZWFjNTBmN2YyMGZmYjQ2YWQiLCJ1c2VySWQiOiIxMDg2ODE4MjE1In0=</vt:lpwstr>
  </property>
  <property fmtid="{D5CDD505-2E9C-101B-9397-08002B2CF9AE}" pid="4" name="ICV">
    <vt:lpwstr>85758419F7FD4B709E2046202B429ED2_13</vt:lpwstr>
  </property>
</Properties>
</file>